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"/>
        </w:rPr>
      </w:pPr>
      <w:r>
        <w:rPr>
          <w:rFonts w:hint="eastAsia" w:ascii="等线" w:hAnsi="等线" w:eastAsia="等线" w:cs="Times New Roman"/>
          <w:kern w:val="2"/>
          <w:sz w:val="28"/>
          <w:szCs w:val="28"/>
          <w:lang w:val="en-US" w:eastAsia="zh-CN" w:bidi="ar"/>
        </w:rPr>
        <w:t>跨境电商与国际物流：机遇、模式及运作读书笔记四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4"/>
          <w:szCs w:val="24"/>
          <w:lang w:val="en-US"/>
        </w:rPr>
      </w:pP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"/>
        </w:rPr>
        <w:t>第四章 海外仓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4.1市场前景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跨境进口新政实施后，保税进口突发熔断，直邮进口为主不要求有通关单，海外仓作为海外直邮的集货和中转中枢，成为绝大多数进口电商的刚需。据不完全统计，国内82%的订单是从海外仓发出的。市场潜力肯定是巨大的，目前每年发300万单以上的第三方海外仓巨头就有4家以上，此外国内还有50多家第三方海外仓，还有许多大卖家选择自建海外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4.2海外仓运作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最先使用海外仓的基本上都是大卖家，依靠自建仓加快物流速度，提升服务和客户体验以及加速资金流转，也加速了行业的马太效应，规模优势凸显。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新兴市场的海外仓很难搞，国情特殊有待考量，主要三个原因：关税壁垒、法规薄弱、物流落后。海外仓远观前程似锦，近看得风顺水的并不多。从仓库经营者的角度看，问题不在于营销，而在于成本。一方面是海外仓运营的成本，另一方面是卖家的库存成本，运营成本又转嫁成卖家的仓储物流成本，在电商薄利的大趋势下，严重削弱了这一渠道的优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4.3海外仓库内管理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管理仓库看似简单，其实大有学问，复杂度决定方法。仓库的管理，包括场地及人财物的多维度管理，并以货物这一流动资产为管理中心。任何一项管理活动，都会涉及“效率、质量、成本”三个目标，物货管理也一样，由于相互制约，所以要追求三者的平衡和共同最大化，由于物流规模的重要性，海外仓管理目标可以浓缩为“多快好省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不同于传统仓储的大宗货物进出仓，电商仓储的特点是“大进小出”，其复杂性不在于面积大小或存货多少，而是多货主、多品类、快进快出、高频订单、波动周期等难题。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4.4海外仓技术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海外仓是对跨境电商在供应、服务、成本、客户体验、精准销售的全方位整合，成为跨境电商展示品牌、售后、咨询的窗口。海外仓的这种整合属性，决定了它服务的不断优化升级，客户体验升级，产品的升级换代，品牌效应的提升。海外仓让许多厂家可以直接把货发到目的国，进行直销，把货落到当地，与当地公司贴身肉搏，从而倒逼国内厂商树立真正的服务意识、品牌意识、质量意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/>
          <w:szCs w:val="21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21"/>
          <w:szCs w:val="21"/>
          <w:lang w:val="en-US" w:eastAsia="zh-CN" w:bidi="ar"/>
        </w:rPr>
        <w:t>4.5海外仓趋势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Cs w:val="21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>从总体来看，目前说海外仓发展到了拐点有点言之过早，直邮转移本地发货的趋势不可逆转。海外仓并非万金油，有些市场不能做或是乏善可陈。海外仓是跨境电商行业发展的一个重要里程碑，不能仅仅把海外仓作为一个物流的提升行为，而应该全方位地评估海外仓可能带来的各种潜在机会和挑战。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217C2AE1"/>
    <w:rsid w:val="217C2AE1"/>
    <w:rsid w:val="4A6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2022-12-05T06:42:00Z</dcterms:created>
  <dc:creator>WPS_1601824356</dc:creator>
  <cp:lastModifiedBy>WPS_1601824356</cp:lastModifiedBy>
  <dcterms:modified xsi:type="dcterms:W3CDTF">2022-12-05T06:51:46Z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46D03988816D45F0B852A49880722182</vt:lpwstr>
  </property>
</Properties>
</file>